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527FF1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на 201</w:t>
      </w:r>
      <w:r w:rsidRPr="00040FDE">
        <w:rPr>
          <w:rFonts w:ascii="Georgia" w:hAnsi="Georgia"/>
          <w:b/>
          <w:sz w:val="32"/>
          <w:szCs w:val="32"/>
        </w:rPr>
        <w:tab/>
        <w:t>/1</w:t>
      </w:r>
      <w:r w:rsidR="00647B38" w:rsidRPr="00040FDE">
        <w:rPr>
          <w:rFonts w:ascii="Georgia" w:hAnsi="Georgia"/>
          <w:b/>
          <w:sz w:val="32"/>
          <w:szCs w:val="32"/>
        </w:rPr>
        <w:t xml:space="preserve">_ </w:t>
      </w:r>
      <w:r w:rsidRPr="00040FDE">
        <w:rPr>
          <w:rFonts w:ascii="Georgia" w:hAnsi="Georgia"/>
          <w:b/>
          <w:sz w:val="32"/>
          <w:szCs w:val="32"/>
        </w:rPr>
        <w:tab/>
        <w:t>учебный год</w:t>
      </w: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527FF1" w:rsidRPr="00040FDE"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________________</w:t>
      </w:r>
      <w:r w:rsidR="00527FF1" w:rsidRPr="00040FDE">
        <w:rPr>
          <w:rFonts w:ascii="Georgia" w:hAnsi="Georgia"/>
          <w:sz w:val="32"/>
          <w:szCs w:val="32"/>
        </w:rPr>
        <w:tab/>
        <w:t>вторая</w:t>
      </w:r>
      <w:r w:rsidR="00647B38" w:rsidRPr="00040FDE">
        <w:rPr>
          <w:rFonts w:ascii="Georgia" w:hAnsi="Georgia"/>
          <w:sz w:val="32"/>
          <w:szCs w:val="32"/>
        </w:rPr>
        <w:t xml:space="preserve">  </w:t>
      </w:r>
      <w:r w:rsidR="00527FF1" w:rsidRPr="00040FDE">
        <w:rPr>
          <w:rFonts w:ascii="Georgia" w:hAnsi="Georgia"/>
          <w:sz w:val="32"/>
          <w:szCs w:val="32"/>
        </w:rPr>
        <w:tab/>
        <w:t>младшая</w:t>
      </w:r>
      <w:r w:rsidR="00527FF1" w:rsidRPr="00040FDE">
        <w:rPr>
          <w:rFonts w:ascii="Georgia" w:hAnsi="Georgia"/>
          <w:sz w:val="32"/>
          <w:szCs w:val="32"/>
        </w:rPr>
        <w:tab/>
        <w:t>№</w:t>
      </w:r>
      <w:r>
        <w:rPr>
          <w:rFonts w:ascii="Georgia" w:hAnsi="Georgia"/>
          <w:sz w:val="32"/>
          <w:szCs w:val="32"/>
        </w:rPr>
        <w:t xml:space="preserve"> _____</w:t>
      </w: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527FF1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:rsidR="00527FF1" w:rsidRPr="00040FDE" w:rsidRDefault="00527FF1" w:rsidP="00040FDE">
      <w:pPr>
        <w:spacing w:after="0"/>
        <w:ind w:left="20" w:firstLine="688"/>
        <w:rPr>
          <w:rFonts w:ascii="Georgia" w:hAnsi="Georgia" w:cs="Times New Roman"/>
          <w:sz w:val="32"/>
          <w:szCs w:val="32"/>
        </w:rPr>
      </w:pPr>
      <w:r w:rsidRPr="00040FDE">
        <w:rPr>
          <w:rStyle w:val="Bodytext30"/>
          <w:rFonts w:ascii="Georgia" w:hAnsi="Georgia" w:cs="Times New Roman"/>
          <w:sz w:val="32"/>
          <w:szCs w:val="32"/>
        </w:rPr>
        <w:t>1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040FDE" w:rsidRDefault="00040FDE" w:rsidP="00040FDE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105pt"/>
          <w:rFonts w:ascii="Georgia" w:eastAsia="CordiaUPC" w:hAnsi="Georgia"/>
          <w:sz w:val="32"/>
          <w:szCs w:val="32"/>
        </w:rPr>
      </w:pPr>
    </w:p>
    <w:p w:rsidR="00527FF1" w:rsidRPr="00040FDE" w:rsidRDefault="00527FF1" w:rsidP="00040FDE">
      <w:pPr>
        <w:pStyle w:val="Bodytext4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 w:cs="Times New Roman"/>
          <w:sz w:val="32"/>
          <w:szCs w:val="32"/>
        </w:rPr>
      </w:pPr>
      <w:r w:rsidRPr="00040FDE">
        <w:rPr>
          <w:rStyle w:val="Bodytext4TimesNewRoman105pt"/>
          <w:rFonts w:ascii="Georgia" w:eastAsia="CordiaUPC" w:hAnsi="Georgia"/>
          <w:sz w:val="32"/>
          <w:szCs w:val="32"/>
        </w:rPr>
        <w:t>2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484ABF" w:rsidRDefault="00484ABF" w:rsidP="00040FDE">
      <w:pPr>
        <w:spacing w:after="0"/>
      </w:pPr>
    </w:p>
    <w:p w:rsidR="00527FF1" w:rsidRDefault="00527FF1"/>
    <w:p w:rsidR="00527FF1" w:rsidRDefault="00527FF1"/>
    <w:p w:rsidR="00527FF1" w:rsidRDefault="00527FF1"/>
    <w:p w:rsidR="00527FF1" w:rsidRDefault="00527FF1"/>
    <w:p w:rsidR="00527FF1" w:rsidRDefault="00527FF1"/>
    <w:p w:rsidR="00040FDE" w:rsidRDefault="00040FDE"/>
    <w:p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другое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описания общегрупповых тенденций (в группах компенсирующей направленности для подготовки к групповому мсдико-психолого-иедагогичсскому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>ществлять психолого-методичсскую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>ку или общегрупповому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>щении со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="00010681">
        <w:rPr>
          <w:rStyle w:val="Bodytext10Georgia85pt"/>
          <w:rFonts w:ascii="Times New Roman" w:hAnsi="Times New Roman" w:cs="Times New Roman"/>
          <w:sz w:val="23"/>
          <w:szCs w:val="23"/>
        </w:rPr>
        <w:t>г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дидактическая игра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 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СПб., 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Ноткипа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>тия детей раннего и дошкольного возраста. —СПб.,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10BoldItalic"/>
          <w:rFonts w:eastAsiaTheme="minorHAnsi"/>
          <w:sz w:val="24"/>
          <w:szCs w:val="24"/>
        </w:rPr>
        <w:t>Урунтаева Г. А., Афонькина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гии.-—М..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>щественных местах, в общении со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Способен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вать предметы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2235" w:type="dxa"/>
            <w:gridSpan w:val="2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Рассматривает сюжетные картинки, спо</w:t>
            </w:r>
            <w:r w:rsidRPr="00A911E5">
              <w:rPr>
                <w:rStyle w:val="Bodytext1075pt"/>
                <w:sz w:val="18"/>
              </w:rPr>
              <w:softHyphen/>
              <w:t>собен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2660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Изображает/создает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2301" w:type="dxa"/>
            <w:gridSpan w:val="2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:rsidTr="00647B38">
        <w:tc>
          <w:tcPr>
            <w:tcW w:w="533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:rsidTr="00647B38">
        <w:tc>
          <w:tcPr>
            <w:tcW w:w="533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2801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47B38" w:rsidRDefault="00EB0E21" w:rsidP="00040FDE">
      <w:pPr>
        <w:rPr>
          <w:rFonts w:ascii="Times New Roman" w:hAnsi="Times New Roman" w:cs="Times New Roman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21" w:rsidRDefault="00EB0E21" w:rsidP="00EB0E21">
      <w:pPr>
        <w:rPr>
          <w:rFonts w:ascii="Times New Roman" w:hAnsi="Times New Roman" w:cs="Times New Roman"/>
          <w:szCs w:val="20"/>
        </w:rPr>
      </w:pPr>
    </w:p>
    <w:p w:rsidR="00EB0E21" w:rsidRDefault="00EB0E21" w:rsidP="00040FD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21" w:rsidSect="00EB0E21"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B6" w:rsidRDefault="000114B6" w:rsidP="00040FDE">
      <w:pPr>
        <w:spacing w:after="0" w:line="240" w:lineRule="auto"/>
      </w:pPr>
      <w:r>
        <w:separator/>
      </w:r>
    </w:p>
  </w:endnote>
  <w:endnote w:type="continuationSeparator" w:id="0">
    <w:p w:rsidR="000114B6" w:rsidRDefault="000114B6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B6" w:rsidRDefault="000114B6" w:rsidP="00040FDE">
      <w:pPr>
        <w:spacing w:after="0" w:line="240" w:lineRule="auto"/>
      </w:pPr>
      <w:r>
        <w:separator/>
      </w:r>
    </w:p>
  </w:footnote>
  <w:footnote w:type="continuationSeparator" w:id="0">
    <w:p w:rsidR="000114B6" w:rsidRDefault="000114B6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B8F"/>
    <w:rsid w:val="00010681"/>
    <w:rsid w:val="000114B6"/>
    <w:rsid w:val="00040FDE"/>
    <w:rsid w:val="00074B8F"/>
    <w:rsid w:val="0017725D"/>
    <w:rsid w:val="00380477"/>
    <w:rsid w:val="00382491"/>
    <w:rsid w:val="00484ABF"/>
    <w:rsid w:val="00527FF1"/>
    <w:rsid w:val="0057559D"/>
    <w:rsid w:val="00647B38"/>
    <w:rsid w:val="00991B20"/>
    <w:rsid w:val="00A911E5"/>
    <w:rsid w:val="00B0309C"/>
    <w:rsid w:val="00C17506"/>
    <w:rsid w:val="00E12B6D"/>
    <w:rsid w:val="00EB0E21"/>
    <w:rsid w:val="00EB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8</cp:revision>
  <cp:lastPrinted>2014-10-21T11:37:00Z</cp:lastPrinted>
  <dcterms:created xsi:type="dcterms:W3CDTF">2014-10-11T19:05:00Z</dcterms:created>
  <dcterms:modified xsi:type="dcterms:W3CDTF">2017-09-06T18:13:00Z</dcterms:modified>
</cp:coreProperties>
</file>